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90" w:rsidRDefault="00095190" w:rsidP="00095190">
      <w:pPr>
        <w:jc w:val="both"/>
        <w:rPr>
          <w:rFonts w:ascii="Arial" w:hAnsi="Arial" w:cs="Arial"/>
          <w:color w:val="262628"/>
          <w:sz w:val="20"/>
          <w:szCs w:val="20"/>
        </w:rPr>
      </w:pPr>
      <w:r>
        <w:rPr>
          <w:rFonts w:ascii="Arial" w:hAnsi="Arial" w:cs="Arial"/>
          <w:color w:val="262628"/>
          <w:sz w:val="20"/>
          <w:szCs w:val="20"/>
        </w:rPr>
        <w:t>The US State Department stated the following in its Mar. 1, 2013 publication "Keystone XL Pipeline Evaluation Process Fact Sheet 2012," available at www.keystonepipeline-xl.state.gov:</w:t>
      </w:r>
    </w:p>
    <w:tbl>
      <w:tblPr>
        <w:tblW w:w="4950" w:type="pct"/>
        <w:jc w:val="center"/>
        <w:tblCellMar>
          <w:left w:w="0" w:type="dxa"/>
          <w:right w:w="0" w:type="dxa"/>
        </w:tblCellMar>
        <w:tblLook w:val="04A0" w:firstRow="1" w:lastRow="0" w:firstColumn="1" w:lastColumn="0" w:noHBand="0" w:noVBand="1"/>
      </w:tblPr>
      <w:tblGrid>
        <w:gridCol w:w="6161"/>
        <w:gridCol w:w="3135"/>
      </w:tblGrid>
      <w:tr w:rsidR="00095190" w:rsidTr="00095190">
        <w:trPr>
          <w:jc w:val="center"/>
        </w:trPr>
        <w:tc>
          <w:tcPr>
            <w:tcW w:w="3750" w:type="pct"/>
            <w:tcMar>
              <w:top w:w="15" w:type="dxa"/>
              <w:left w:w="15" w:type="dxa"/>
              <w:bottom w:w="15" w:type="dxa"/>
              <w:right w:w="15" w:type="dxa"/>
            </w:tcMar>
            <w:hideMark/>
          </w:tcPr>
          <w:p w:rsidR="00095190" w:rsidRDefault="00095190">
            <w:pPr>
              <w:rPr>
                <w:rFonts w:ascii="Arial" w:hAnsi="Arial" w:cs="Arial"/>
                <w:sz w:val="20"/>
                <w:szCs w:val="20"/>
              </w:rPr>
            </w:pPr>
            <w:r>
              <w:rPr>
                <w:rFonts w:ascii="Arial" w:hAnsi="Arial" w:cs="Arial"/>
                <w:sz w:val="20"/>
                <w:szCs w:val="20"/>
              </w:rPr>
              <w:t>"TransCanada submitted a new application for the Keystone XL Project on May 4, 2012. On March 1, 2013 the U.S. Department of State (the Department) released a Draft Supplemental Environmental Impact Statement (Draft SEIS) for the proposed project that is consistent with the National Environmental Policy Act (NEPA).</w:t>
            </w:r>
            <w:r>
              <w:rPr>
                <w:rFonts w:ascii="Arial" w:hAnsi="Arial" w:cs="Arial"/>
                <w:sz w:val="20"/>
                <w:szCs w:val="20"/>
              </w:rPr>
              <w:br/>
            </w:r>
            <w:r>
              <w:rPr>
                <w:rFonts w:ascii="Arial" w:hAnsi="Arial" w:cs="Arial"/>
                <w:sz w:val="20"/>
                <w:szCs w:val="20"/>
              </w:rPr>
              <w:br/>
              <w:t xml:space="preserve">The proposed Keystone XL project consists of </w:t>
            </w:r>
            <w:proofErr w:type="gramStart"/>
            <w:r>
              <w:rPr>
                <w:rFonts w:ascii="Arial" w:hAnsi="Arial" w:cs="Arial"/>
                <w:sz w:val="20"/>
                <w:szCs w:val="20"/>
              </w:rPr>
              <w:t>a</w:t>
            </w:r>
            <w:proofErr w:type="gramEnd"/>
            <w:r>
              <w:rPr>
                <w:rFonts w:ascii="Arial" w:hAnsi="Arial" w:cs="Arial"/>
                <w:sz w:val="20"/>
                <w:szCs w:val="20"/>
              </w:rPr>
              <w:t xml:space="preserve"> 875-mile long pipeline and related facilities to transport up to 830,000 barrels per day (bpd) of crude oil from Alberta, Canada and the Bakken Shale Formation in Montana. The pipeline would cross the U.S. border near Morgan, Montana and continue through Montana, South Dakota, and Nebraska where it would connect to existing pipeline facilities near Steele City, Nebraska for onward delivery to Cushing, Oklahoma and the Texas Gulf Coast region.</w:t>
            </w:r>
            <w:r>
              <w:rPr>
                <w:rFonts w:ascii="Arial" w:hAnsi="Arial" w:cs="Arial"/>
                <w:sz w:val="20"/>
                <w:szCs w:val="20"/>
              </w:rPr>
              <w:br/>
            </w:r>
            <w:r>
              <w:rPr>
                <w:rFonts w:ascii="Arial" w:hAnsi="Arial" w:cs="Arial"/>
                <w:sz w:val="20"/>
                <w:szCs w:val="20"/>
              </w:rPr>
              <w:br/>
              <w:t>A previous application from TransCanada for a Keystone XL project (2008 application) was for a pipeline that would have been more than 1.5 times the length of the current proposal (1,384 miles), with nearly identical routes in Montana and South Dakota. The Final Environmental Impact Statement for that proposal was issued by the Department on August 26, 2011 (2011 FEIS). A permit for the 2008 application was denied."</w:t>
            </w:r>
          </w:p>
        </w:tc>
        <w:tc>
          <w:tcPr>
            <w:tcW w:w="0" w:type="auto"/>
            <w:shd w:val="clear" w:color="auto" w:fill="FFFFFF"/>
            <w:tcMar>
              <w:top w:w="15" w:type="dxa"/>
              <w:left w:w="15" w:type="dxa"/>
              <w:bottom w:w="15" w:type="dxa"/>
              <w:right w:w="15" w:type="dxa"/>
            </w:tcMar>
            <w:hideMark/>
          </w:tcPr>
          <w:tbl>
            <w:tblPr>
              <w:tblW w:w="5000" w:type="pct"/>
              <w:jc w:val="center"/>
              <w:tblInd w:w="75" w:type="dxa"/>
              <w:tblCellMar>
                <w:top w:w="15" w:type="dxa"/>
                <w:left w:w="15" w:type="dxa"/>
                <w:bottom w:w="15" w:type="dxa"/>
                <w:right w:w="15" w:type="dxa"/>
              </w:tblCellMar>
              <w:tblLook w:val="04A0" w:firstRow="1" w:lastRow="0" w:firstColumn="1" w:lastColumn="0" w:noHBand="0" w:noVBand="1"/>
            </w:tblPr>
            <w:tblGrid>
              <w:gridCol w:w="3105"/>
            </w:tblGrid>
            <w:tr w:rsidR="00095190">
              <w:trPr>
                <w:jc w:val="center"/>
              </w:trPr>
              <w:tc>
                <w:tcPr>
                  <w:tcW w:w="0" w:type="auto"/>
                  <w:vAlign w:val="center"/>
                  <w:hideMark/>
                </w:tcPr>
                <w:p w:rsidR="00095190" w:rsidRDefault="00095190">
                  <w:pPr>
                    <w:rPr>
                      <w:rFonts w:ascii="Arial" w:hAnsi="Arial" w:cs="Arial"/>
                      <w:sz w:val="20"/>
                      <w:szCs w:val="20"/>
                    </w:rPr>
                  </w:pPr>
                  <w:r>
                    <w:rPr>
                      <w:rFonts w:ascii="Arial" w:hAnsi="Arial" w:cs="Arial"/>
                      <w:noProof/>
                      <w:color w:val="00428F"/>
                      <w:sz w:val="20"/>
                      <w:szCs w:val="20"/>
                    </w:rPr>
                    <w:drawing>
                      <wp:inline distT="0" distB="0" distL="0" distR="0" wp14:anchorId="079F336A" wp14:editId="018413C6">
                        <wp:extent cx="1901825" cy="2458085"/>
                        <wp:effectExtent l="0" t="0" r="3175" b="0"/>
                        <wp:docPr id="1" name="Picture 1" descr="http://alternativeenergy.procon.org/files/1-alternative-energy-images/new-keystone-xl-pipeline-route.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ternativeenergy.procon.org/files/1-alternative-energy-images/new-keystone-xl-pipeline-route.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2458085"/>
                                </a:xfrm>
                                <a:prstGeom prst="rect">
                                  <a:avLst/>
                                </a:prstGeom>
                                <a:noFill/>
                                <a:ln>
                                  <a:noFill/>
                                </a:ln>
                              </pic:spPr>
                            </pic:pic>
                          </a:graphicData>
                        </a:graphic>
                      </wp:inline>
                    </w:drawing>
                  </w:r>
                </w:p>
              </w:tc>
            </w:tr>
            <w:tr w:rsidR="00095190">
              <w:trPr>
                <w:jc w:val="center"/>
              </w:trPr>
              <w:tc>
                <w:tcPr>
                  <w:tcW w:w="0" w:type="auto"/>
                  <w:vAlign w:val="center"/>
                  <w:hideMark/>
                </w:tcPr>
                <w:p w:rsidR="00095190" w:rsidRDefault="00095190">
                  <w:pPr>
                    <w:jc w:val="center"/>
                    <w:rPr>
                      <w:rFonts w:ascii="Arial" w:hAnsi="Arial" w:cs="Arial"/>
                      <w:sz w:val="20"/>
                      <w:szCs w:val="20"/>
                    </w:rPr>
                  </w:pPr>
                  <w:r>
                    <w:rPr>
                      <w:rFonts w:ascii="Arial" w:hAnsi="Arial" w:cs="Arial"/>
                      <w:color w:val="696969"/>
                      <w:sz w:val="16"/>
                      <w:szCs w:val="16"/>
                    </w:rPr>
                    <w:t>Source: US Department of State, "Keystone XL Project: Executive Summary-Draft Supplemental EIS," www.keystonepipeline-xl.state.gov, Mar. 1, 2013</w:t>
                  </w:r>
                </w:p>
              </w:tc>
            </w:tr>
          </w:tbl>
          <w:p w:rsidR="00095190" w:rsidRDefault="00095190">
            <w:pPr>
              <w:jc w:val="center"/>
              <w:rPr>
                <w:rFonts w:ascii="Arial" w:hAnsi="Arial" w:cs="Arial"/>
                <w:sz w:val="20"/>
                <w:szCs w:val="20"/>
              </w:rPr>
            </w:pPr>
          </w:p>
        </w:tc>
      </w:tr>
      <w:tr w:rsidR="00095190" w:rsidTr="00095190">
        <w:trPr>
          <w:jc w:val="center"/>
        </w:trPr>
        <w:tc>
          <w:tcPr>
            <w:tcW w:w="3750" w:type="pct"/>
            <w:gridSpan w:val="2"/>
            <w:tcMar>
              <w:top w:w="225" w:type="dxa"/>
              <w:left w:w="0" w:type="dxa"/>
              <w:bottom w:w="0" w:type="dxa"/>
              <w:right w:w="0" w:type="dxa"/>
            </w:tcMar>
            <w:hideMark/>
          </w:tcPr>
          <w:p w:rsidR="00095190" w:rsidRDefault="00095190">
            <w:pPr>
              <w:rPr>
                <w:rFonts w:ascii="Arial" w:hAnsi="Arial" w:cs="Arial"/>
                <w:sz w:val="20"/>
                <w:szCs w:val="20"/>
              </w:rPr>
            </w:pPr>
            <w:r>
              <w:rPr>
                <w:rFonts w:ascii="Arial" w:hAnsi="Arial" w:cs="Arial"/>
                <w:sz w:val="20"/>
                <w:szCs w:val="20"/>
              </w:rPr>
              <w:t>[</w:t>
            </w:r>
            <w:r>
              <w:rPr>
                <w:rStyle w:val="Strong"/>
                <w:rFonts w:ascii="Arial" w:hAnsi="Arial" w:cs="Arial"/>
                <w:color w:val="FF0000"/>
                <w:sz w:val="20"/>
                <w:szCs w:val="20"/>
              </w:rPr>
              <w:t xml:space="preserve">Editor's Note: </w:t>
            </w:r>
            <w:r>
              <w:rPr>
                <w:rFonts w:ascii="Arial" w:hAnsi="Arial" w:cs="Arial"/>
                <w:sz w:val="20"/>
                <w:szCs w:val="20"/>
              </w:rPr>
              <w:t>On Jan. 18, 2012 President Obama denied the original 2008 application for the Keystone XL Pipeline. For more information about the Aug. 26, 2011 Environmental Impact Statement, as well as President Obama's Jan. 18, 2012 statement denying the 2008 Keystone XL pipeline permit, please read our resource "</w:t>
            </w:r>
            <w:hyperlink r:id="rId7" w:history="1">
              <w:r>
                <w:rPr>
                  <w:rFonts w:ascii="Arial" w:hAnsi="Arial" w:cs="Arial"/>
                  <w:color w:val="00428F"/>
                  <w:sz w:val="20"/>
                  <w:szCs w:val="20"/>
                </w:rPr>
                <w:t>Background Information on the 2008 Keystone XL Pipeline Application</w:t>
              </w:r>
            </w:hyperlink>
            <w:r>
              <w:rPr>
                <w:rFonts w:ascii="Arial" w:hAnsi="Arial" w:cs="Arial"/>
                <w:sz w:val="20"/>
                <w:szCs w:val="20"/>
              </w:rPr>
              <w:t>."]</w:t>
            </w:r>
          </w:p>
        </w:tc>
      </w:tr>
    </w:tbl>
    <w:p w:rsidR="00095190" w:rsidRDefault="00095190" w:rsidP="00095190">
      <w:pPr>
        <w:rPr>
          <w:rFonts w:ascii="Arial" w:hAnsi="Arial" w:cs="Arial"/>
          <w:color w:val="262628"/>
          <w:sz w:val="20"/>
          <w:szCs w:val="20"/>
        </w:rPr>
      </w:pPr>
      <w:bookmarkStart w:id="0" w:name="Pro"/>
      <w:bookmarkEnd w:id="0"/>
      <w:r>
        <w:rPr>
          <w:rFonts w:ascii="Arial" w:hAnsi="Arial" w:cs="Arial"/>
          <w:color w:val="262628"/>
          <w:sz w:val="20"/>
          <w:szCs w:val="20"/>
        </w:rPr>
        <w:br/>
      </w:r>
      <w:r>
        <w:rPr>
          <w:rFonts w:ascii="Arial" w:hAnsi="Arial" w:cs="Arial"/>
          <w:color w:val="262628"/>
          <w:sz w:val="15"/>
          <w:szCs w:val="15"/>
        </w:rPr>
        <w:t xml:space="preserve">Mar. 1, 2013 - </w:t>
      </w:r>
      <w:hyperlink r:id="rId8" w:tgtFrame="_blank" w:tooltip="US Department of State" w:history="1">
        <w:r>
          <w:rPr>
            <w:rFonts w:ascii="Arial" w:hAnsi="Arial" w:cs="Arial"/>
            <w:color w:val="00428F"/>
            <w:sz w:val="15"/>
            <w:szCs w:val="15"/>
          </w:rPr>
          <w:t>US Department of State </w:t>
        </w:r>
        <w:r>
          <w:rPr>
            <w:rFonts w:ascii="Arial" w:hAnsi="Arial" w:cs="Arial"/>
            <w:noProof/>
            <w:color w:val="00428F"/>
            <w:sz w:val="15"/>
            <w:szCs w:val="15"/>
          </w:rPr>
          <w:drawing>
            <wp:inline distT="0" distB="0" distL="0" distR="0" wp14:anchorId="182EFE15" wp14:editId="5DD638E1">
              <wp:extent cx="125730" cy="125730"/>
              <wp:effectExtent l="0" t="0" r="7620" b="7620"/>
              <wp:docPr id="2" name="Picture 2" descr="http://alternativeenergy.procon.org/images/gstar.gif">
                <a:hlinkClick xmlns:a="http://schemas.openxmlformats.org/drawingml/2006/main" r:id="rId8" tgtFrame="&quot;_blank&quot;" tooltip="&quot;US Department of Sta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ternativeenergy.procon.org/images/gstar.gif">
                        <a:hlinkClick r:id="rId8" tgtFrame="&quot;_blank&quot;" tooltip="&quot;US Department of Stat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hyperlink>
      <w:r>
        <w:rPr>
          <w:rFonts w:ascii="Arial" w:hAnsi="Arial" w:cs="Arial"/>
          <w:color w:val="262628"/>
          <w:sz w:val="15"/>
          <w:szCs w:val="15"/>
        </w:rPr>
        <w:br/>
      </w:r>
      <w:hyperlink r:id="rId10" w:tgtFrame="_blank" w:tooltip="Keystone XL Project Executive Summary: Draft Supplemental EIS  (12MB)" w:history="1">
        <w:r>
          <w:rPr>
            <w:rFonts w:ascii="Arial" w:hAnsi="Arial" w:cs="Arial"/>
            <w:color w:val="00428F"/>
            <w:sz w:val="15"/>
            <w:szCs w:val="15"/>
          </w:rPr>
          <w:t>Keystone XL Project Executive Summary: Draft Supplemental EIS (12MB) </w:t>
        </w:r>
        <w:r>
          <w:rPr>
            <w:rFonts w:ascii="Arial" w:hAnsi="Arial" w:cs="Arial"/>
            <w:noProof/>
            <w:color w:val="00428F"/>
            <w:sz w:val="15"/>
            <w:szCs w:val="15"/>
          </w:rPr>
          <w:drawing>
            <wp:inline distT="0" distB="0" distL="0" distR="0" wp14:anchorId="7E50F3FD" wp14:editId="02AD3277">
              <wp:extent cx="125730" cy="125730"/>
              <wp:effectExtent l="0" t="0" r="7620" b="7620"/>
              <wp:docPr id="3" name="Picture 3" descr="http://alternativeenergy.procon.org/images/pdficon_small.gif">
                <a:hlinkClick xmlns:a="http://schemas.openxmlformats.org/drawingml/2006/main" r:id="rId10" tgtFrame="&quot;_blank&quot;" tooltip="&quot;Keystone XL Project Executive Summary: Draft Supplemental EIS  (12M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ternativeenergy.procon.org/images/pdficon_small.gif">
                        <a:hlinkClick r:id="rId10" tgtFrame="&quot;_blank&quot;" tooltip="&quot;Keystone XL Project Executive Summary: Draft Supplemental EIS  (12MB)&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Pr>
            <w:rFonts w:ascii="Arial" w:hAnsi="Arial" w:cs="Arial"/>
            <w:color w:val="00428F"/>
            <w:sz w:val="15"/>
            <w:szCs w:val="15"/>
          </w:rPr>
          <w:t> </w:t>
        </w:r>
      </w:hyperlink>
    </w:p>
    <w:p w:rsidR="00566AED" w:rsidRDefault="00566AED" w:rsidP="007354CD">
      <w:pPr>
        <w:rPr>
          <w:rFonts w:ascii="Arial" w:hAnsi="Arial" w:cs="Arial"/>
        </w:rPr>
      </w:pPr>
    </w:p>
    <w:p w:rsidR="00095190" w:rsidRPr="00095190" w:rsidRDefault="00095190" w:rsidP="007354CD">
      <w:pPr>
        <w:rPr>
          <w:rFonts w:ascii="Arial" w:hAnsi="Arial" w:cs="Arial"/>
          <w:b/>
          <w:i/>
          <w:u w:val="single"/>
        </w:rPr>
      </w:pPr>
      <w:r w:rsidRPr="00095190">
        <w:rPr>
          <w:rFonts w:ascii="Arial" w:hAnsi="Arial" w:cs="Arial"/>
          <w:b/>
          <w:i/>
          <w:u w:val="single"/>
        </w:rPr>
        <w:t>PRO’S</w:t>
      </w:r>
      <w:r>
        <w:rPr>
          <w:rFonts w:ascii="Arial" w:hAnsi="Arial" w:cs="Arial"/>
          <w:b/>
          <w:i/>
          <w:u w:val="single"/>
        </w:rPr>
        <w:t xml:space="preserve"> </w:t>
      </w:r>
      <w:r w:rsidRPr="00095190">
        <w:rPr>
          <w:rFonts w:ascii="Arial" w:hAnsi="Arial" w:cs="Arial"/>
          <w:b/>
          <w:i/>
        </w:rPr>
        <w:t xml:space="preserve">                                                                                      </w:t>
      </w:r>
      <w:r>
        <w:rPr>
          <w:rFonts w:ascii="Arial" w:hAnsi="Arial" w:cs="Arial"/>
          <w:b/>
          <w:i/>
          <w:u w:val="single"/>
        </w:rPr>
        <w:t>CON’S</w:t>
      </w:r>
      <w:bookmarkStart w:id="1" w:name="_GoBack"/>
      <w:bookmarkEnd w:id="1"/>
    </w:p>
    <w:sectPr w:rsidR="00095190" w:rsidRPr="00095190"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90"/>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190"/>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76989"/>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5190"/>
    <w:rPr>
      <w:b/>
      <w:bCs/>
    </w:rPr>
  </w:style>
  <w:style w:type="paragraph" w:styleId="BalloonText">
    <w:name w:val="Balloon Text"/>
    <w:basedOn w:val="Normal"/>
    <w:link w:val="BalloonTextChar"/>
    <w:uiPriority w:val="99"/>
    <w:semiHidden/>
    <w:unhideWhenUsed/>
    <w:rsid w:val="00095190"/>
    <w:rPr>
      <w:rFonts w:ascii="Tahoma" w:hAnsi="Tahoma" w:cs="Tahoma"/>
      <w:sz w:val="16"/>
      <w:szCs w:val="16"/>
    </w:rPr>
  </w:style>
  <w:style w:type="character" w:customStyle="1" w:styleId="BalloonTextChar">
    <w:name w:val="Balloon Text Char"/>
    <w:basedOn w:val="DefaultParagraphFont"/>
    <w:link w:val="BalloonText"/>
    <w:uiPriority w:val="99"/>
    <w:semiHidden/>
    <w:rsid w:val="00095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5190"/>
    <w:rPr>
      <w:b/>
      <w:bCs/>
    </w:rPr>
  </w:style>
  <w:style w:type="paragraph" w:styleId="BalloonText">
    <w:name w:val="Balloon Text"/>
    <w:basedOn w:val="Normal"/>
    <w:link w:val="BalloonTextChar"/>
    <w:uiPriority w:val="99"/>
    <w:semiHidden/>
    <w:unhideWhenUsed/>
    <w:rsid w:val="00095190"/>
    <w:rPr>
      <w:rFonts w:ascii="Tahoma" w:hAnsi="Tahoma" w:cs="Tahoma"/>
      <w:sz w:val="16"/>
      <w:szCs w:val="16"/>
    </w:rPr>
  </w:style>
  <w:style w:type="character" w:customStyle="1" w:styleId="BalloonTextChar">
    <w:name w:val="Balloon Text Char"/>
    <w:basedOn w:val="DefaultParagraphFont"/>
    <w:link w:val="BalloonText"/>
    <w:uiPriority w:val="99"/>
    <w:semiHidden/>
    <w:rsid w:val="00095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03326">
      <w:bodyDiv w:val="1"/>
      <w:marLeft w:val="0"/>
      <w:marRight w:val="0"/>
      <w:marTop w:val="0"/>
      <w:marBottom w:val="0"/>
      <w:divBdr>
        <w:top w:val="none" w:sz="0" w:space="0" w:color="auto"/>
        <w:left w:val="none" w:sz="0" w:space="0" w:color="auto"/>
        <w:bottom w:val="none" w:sz="0" w:space="0" w:color="auto"/>
        <w:right w:val="none" w:sz="0" w:space="0" w:color="auto"/>
      </w:divBdr>
      <w:divsChild>
        <w:div w:id="394209025">
          <w:marLeft w:val="0"/>
          <w:marRight w:val="0"/>
          <w:marTop w:val="0"/>
          <w:marBottom w:val="0"/>
          <w:divBdr>
            <w:top w:val="none" w:sz="0" w:space="0" w:color="auto"/>
            <w:left w:val="none" w:sz="0" w:space="0" w:color="auto"/>
            <w:bottom w:val="none" w:sz="0" w:space="0" w:color="auto"/>
            <w:right w:val="none" w:sz="0" w:space="0" w:color="auto"/>
          </w:divBdr>
          <w:divsChild>
            <w:div w:id="605043807">
              <w:marLeft w:val="0"/>
              <w:marRight w:val="0"/>
              <w:marTop w:val="0"/>
              <w:marBottom w:val="0"/>
              <w:divBdr>
                <w:top w:val="none" w:sz="0" w:space="0" w:color="auto"/>
                <w:left w:val="none" w:sz="0" w:space="0" w:color="auto"/>
                <w:bottom w:val="none" w:sz="0" w:space="0" w:color="auto"/>
                <w:right w:val="none" w:sz="0" w:space="0" w:color="auto"/>
              </w:divBdr>
              <w:divsChild>
                <w:div w:id="233244410">
                  <w:marLeft w:val="0"/>
                  <w:marRight w:val="0"/>
                  <w:marTop w:val="0"/>
                  <w:marBottom w:val="0"/>
                  <w:divBdr>
                    <w:top w:val="none" w:sz="0" w:space="0" w:color="auto"/>
                    <w:left w:val="none" w:sz="0" w:space="0" w:color="auto"/>
                    <w:bottom w:val="none" w:sz="0" w:space="0" w:color="auto"/>
                    <w:right w:val="none" w:sz="0" w:space="0" w:color="auto"/>
                  </w:divBdr>
                  <w:divsChild>
                    <w:div w:id="897475641">
                      <w:marLeft w:val="0"/>
                      <w:marRight w:val="0"/>
                      <w:marTop w:val="0"/>
                      <w:marBottom w:val="0"/>
                      <w:divBdr>
                        <w:top w:val="none" w:sz="0" w:space="0" w:color="auto"/>
                        <w:left w:val="none" w:sz="0" w:space="0" w:color="auto"/>
                        <w:bottom w:val="none" w:sz="0" w:space="0" w:color="auto"/>
                        <w:right w:val="none" w:sz="0" w:space="0" w:color="auto"/>
                      </w:divBdr>
                      <w:divsChild>
                        <w:div w:id="1318876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ernativeenergy.procon.org/view.source.php?sourceID=0085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ternativeenergy.procon.org/view.resource.php?resourceID=00529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hyperlink" Target="http://alternativeenergy.procon.org/view.resource.php?resourceID=005293" TargetMode="External"/><Relationship Id="rId10" Type="http://schemas.openxmlformats.org/officeDocument/2006/relationships/hyperlink" Target="http://alternativeenergy.procon.org/sourcefiles/Executive-Summary-Keystone-Final-Environmental-Impact-Statement-2013.pdf"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5F48D5B3</Template>
  <TotalTime>2</TotalTime>
  <Pages>1</Pages>
  <Words>311</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2</cp:revision>
  <cp:lastPrinted>2014-11-10T21:42:00Z</cp:lastPrinted>
  <dcterms:created xsi:type="dcterms:W3CDTF">2014-11-10T21:58:00Z</dcterms:created>
  <dcterms:modified xsi:type="dcterms:W3CDTF">2014-11-10T21:58:00Z</dcterms:modified>
</cp:coreProperties>
</file>